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33BF065"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EE37C8">
        <w:t xml:space="preserve"> </w:t>
      </w:r>
      <w:r w:rsidR="00EE37C8" w:rsidRPr="00EE37C8">
        <w:rPr>
          <w:b/>
          <w:bCs/>
        </w:rPr>
        <w:t>Winsford Cross Shopping Centre 3 Jubilee Way Winsford CW7 1BG</w:t>
      </w:r>
      <w:r w:rsidR="00391B4F" w:rsidRPr="00EE37C8">
        <w:rPr>
          <w:rFonts w:eastAsia="Times New Roman"/>
          <w:b/>
          <w:bCs/>
        </w:rPr>
        <w:t xml:space="preserve">, </w:t>
      </w:r>
      <w:r w:rsidR="00C65F96" w:rsidRPr="00EE37C8">
        <w:rPr>
          <w:rFonts w:eastAsia="Times New Roman"/>
          <w:b/>
          <w:bCs/>
        </w:rPr>
        <w:t>(the “Practice”)</w:t>
      </w:r>
    </w:p>
    <w:p w14:paraId="3A2FC7BE" w14:textId="7D8CA564"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EE37C8">
        <w:rPr>
          <w:rFonts w:eastAsia="Times New Roman"/>
          <w:b/>
          <w:bCs/>
        </w:rPr>
        <w:t>01 February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3C7E9C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E37C8">
        <w:rPr>
          <w:rFonts w:asciiTheme="minorHAnsi" w:eastAsia="Times New Roman" w:hAnsiTheme="minorHAnsi" w:cstheme="minorHAnsi"/>
          <w:bCs/>
          <w:lang w:eastAsia="en-GB"/>
        </w:rPr>
        <w:t>Sara Aziz</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on</w:t>
      </w:r>
      <w:r w:rsidR="00EE37C8">
        <w:rPr>
          <w:rFonts w:asciiTheme="minorHAnsi" w:eastAsia="Times New Roman" w:hAnsiTheme="minorHAnsi" w:cstheme="minorHAnsi"/>
          <w:bCs/>
          <w:lang w:eastAsia="en-GB"/>
        </w:rPr>
        <w:t xml:space="preserve"> 01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7802C560"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EE37C8">
        <w:rPr>
          <w:rFonts w:asciiTheme="minorHAnsi" w:eastAsia="Times New Roman" w:hAnsiTheme="minorHAnsi" w:cstheme="minorHAnsi"/>
          <w:bCs/>
          <w:lang w:eastAsia="en-GB"/>
        </w:rPr>
        <w:t>£1490.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30D5E05C"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EE37C8">
        <w:rPr>
          <w:rFonts w:asciiTheme="minorHAnsi" w:eastAsia="Times New Roman" w:hAnsiTheme="minorHAnsi" w:cstheme="minorHAnsi"/>
          <w:bCs/>
          <w:lang w:eastAsia="en-GB"/>
        </w:rPr>
        <w:t>tooth whitening treatment worth £85.</w:t>
      </w:r>
    </w:p>
    <w:p w14:paraId="5557917F" w14:textId="6BA74ADF"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EE37C8">
        <w:rPr>
          <w:rFonts w:eastAsia="Times New Roman"/>
        </w:rPr>
        <w:t>£85.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E2587"/>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37C8"/>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2025-01-27T12:46:00Z</dcterms:created>
  <dcterms:modified xsi:type="dcterms:W3CDTF">2025-01-27T12:46:00Z</dcterms:modified>
</cp:coreProperties>
</file>